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9E594" w14:textId="77777777" w:rsidR="004500CF" w:rsidRDefault="004500CF" w:rsidP="004500CF">
      <w:pPr>
        <w:rPr>
          <w:rFonts w:ascii="Times New Roman" w:eastAsia="Times New Roman" w:hAnsi="Times New Roman" w:cs="Times New Roman"/>
          <w:b/>
          <w:bCs/>
          <w:sz w:val="96"/>
          <w:szCs w:val="96"/>
          <w:lang w:val="en-GB"/>
        </w:rPr>
      </w:pPr>
      <w:r>
        <w:rPr>
          <w:rFonts w:ascii="Times New Roman" w:eastAsia="Times New Roman" w:hAnsi="Times New Roman" w:cs="Times New Roman"/>
          <w:b/>
          <w:bCs/>
          <w:sz w:val="96"/>
          <w:szCs w:val="96"/>
          <w:lang w:val="en-GB"/>
        </w:rPr>
        <w:t>Media Release</w:t>
      </w:r>
    </w:p>
    <w:p w14:paraId="2E89474B" w14:textId="77777777" w:rsidR="004500CF" w:rsidRDefault="004500CF" w:rsidP="00672A06">
      <w:pPr>
        <w:rPr>
          <w:lang w:val="en-GB"/>
        </w:rPr>
      </w:pPr>
    </w:p>
    <w:p w14:paraId="6380CAA1" w14:textId="64DE998C" w:rsidR="004500CF" w:rsidRDefault="008922B1" w:rsidP="00672A06">
      <w:pPr>
        <w:rPr>
          <w:lang w:val="en-GB"/>
        </w:rPr>
      </w:pPr>
      <w:r>
        <w:rPr>
          <w:lang w:val="en-GB"/>
        </w:rPr>
        <w:t>21 May 2026</w:t>
      </w:r>
    </w:p>
    <w:p w14:paraId="5EEA8024" w14:textId="77777777" w:rsidR="004500CF" w:rsidRPr="008834BA" w:rsidRDefault="004500CF" w:rsidP="004500CF">
      <w:pPr>
        <w:rPr>
          <w:rFonts w:ascii="Times New Roman" w:eastAsia="Times New Roman" w:hAnsi="Times New Roman" w:cs="Times New Roman"/>
          <w:sz w:val="28"/>
          <w:szCs w:val="28"/>
          <w:lang w:val="en-GB"/>
        </w:rPr>
      </w:pPr>
    </w:p>
    <w:p w14:paraId="5A20F8E4" w14:textId="77777777" w:rsidR="00F71CC6" w:rsidRPr="00F71CC6" w:rsidRDefault="00F71CC6" w:rsidP="00F71CC6">
      <w:pPr>
        <w:spacing w:before="120" w:after="240"/>
        <w:rPr>
          <w:rFonts w:eastAsia="Times New Roman" w:cs="Arial"/>
          <w:b/>
          <w:bCs/>
          <w:color w:val="0070C0"/>
          <w:sz w:val="36"/>
          <w:szCs w:val="36"/>
          <w:lang w:val="en-GB"/>
        </w:rPr>
      </w:pPr>
      <w:r w:rsidRPr="00F71CC6">
        <w:rPr>
          <w:rFonts w:eastAsia="Times New Roman" w:cs="Arial"/>
          <w:b/>
          <w:bCs/>
          <w:color w:val="0070C0"/>
          <w:sz w:val="36"/>
          <w:szCs w:val="36"/>
          <w:lang w:val="en-GB"/>
        </w:rPr>
        <w:t>“Caring community” budget leaves Tasmania’s 87,000 carers behind</w:t>
      </w:r>
    </w:p>
    <w:p w14:paraId="3DF91FAA"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The 2026-27 Tasmanian Budget, branded by the Treasurer as “delivering a strong economy and caring community,” has failed to fund the next Tasmanian Carer Action Plan, leaving more than 87,000 family and friend carers without the structural support the Tasmanian Government legislated to provide.</w:t>
      </w:r>
    </w:p>
    <w:p w14:paraId="1940989F"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“A caring community is one that funds its carers, and on today’s evidence, Tasmania is not yet that community,” said Carers Tasmania CEO Dr Samantha Fox.</w:t>
      </w:r>
    </w:p>
    <w:p w14:paraId="534DEB0D"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Federal NDIS and aged care changes are landing on Tasmanian carers</w:t>
      </w:r>
    </w:p>
    <w:p w14:paraId="6F3F2A10"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Dr Fox said Tasmanian carers were already shouldering the consequences of Federal NDIS reforms and changes across the aged care system.</w:t>
      </w:r>
    </w:p>
    <w:p w14:paraId="24EFE682" w14:textId="22D8102D" w:rsidR="00E345E4" w:rsidRPr="00F71CC6" w:rsidRDefault="00E345E4" w:rsidP="00E345E4">
      <w:pPr>
        <w:spacing w:line="300" w:lineRule="auto"/>
        <w:rPr>
          <w:rFonts w:eastAsia="Calibri" w:cs="Arial"/>
          <w:color w:val="000000" w:themeColor="text1"/>
          <w:szCs w:val="24"/>
        </w:rPr>
      </w:pPr>
      <w:r w:rsidRPr="00F71CC6">
        <w:rPr>
          <w:rFonts w:eastAsia="Calibri" w:cs="Arial"/>
          <w:color w:val="000000" w:themeColor="text1"/>
          <w:szCs w:val="24"/>
        </w:rPr>
        <w:t xml:space="preserve">“The Treasurer has acknowledged in his Budget Speech that Federal NDIS changes will shift cost pressures onto the states, particularly in foundational supports, health, education and community services. </w:t>
      </w:r>
      <w:r w:rsidR="00A42369">
        <w:rPr>
          <w:rFonts w:eastAsia="Calibri" w:cs="Arial"/>
          <w:color w:val="000000" w:themeColor="text1"/>
          <w:szCs w:val="24"/>
        </w:rPr>
        <w:t>T</w:t>
      </w:r>
      <w:r w:rsidRPr="00F71CC6">
        <w:rPr>
          <w:rFonts w:eastAsia="Calibri" w:cs="Arial"/>
          <w:color w:val="000000" w:themeColor="text1"/>
          <w:szCs w:val="24"/>
        </w:rPr>
        <w:t>he people who will absorb that shift first, every day, in their own homes, are Tasmania’s carers. This Budget does not back them.”</w:t>
      </w:r>
    </w:p>
    <w:p w14:paraId="653D8792" w14:textId="575EF7B8"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 xml:space="preserve">“When NDIS supports are tightened and aged care reforms shift more responsibility back to families, it is carers who fill the gap. Behind every </w:t>
      </w:r>
      <w:r w:rsidR="00005C66">
        <w:rPr>
          <w:rFonts w:eastAsia="Calibri" w:cs="Arial"/>
          <w:color w:val="000000" w:themeColor="text1"/>
          <w:szCs w:val="24"/>
        </w:rPr>
        <w:t>reduction and reform</w:t>
      </w:r>
      <w:r w:rsidR="005048D8">
        <w:rPr>
          <w:rFonts w:eastAsia="Calibri" w:cs="Arial"/>
          <w:color w:val="000000" w:themeColor="text1"/>
          <w:szCs w:val="24"/>
        </w:rPr>
        <w:t xml:space="preserve"> </w:t>
      </w:r>
      <w:r w:rsidRPr="00F71CC6">
        <w:rPr>
          <w:rFonts w:eastAsia="Calibri" w:cs="Arial"/>
          <w:color w:val="000000" w:themeColor="text1"/>
          <w:szCs w:val="24"/>
        </w:rPr>
        <w:t xml:space="preserve">is a family </w:t>
      </w:r>
      <w:r w:rsidR="00005C66">
        <w:rPr>
          <w:rFonts w:eastAsia="Calibri" w:cs="Arial"/>
          <w:color w:val="000000" w:themeColor="text1"/>
          <w:szCs w:val="24"/>
        </w:rPr>
        <w:t xml:space="preserve">or friend </w:t>
      </w:r>
      <w:r w:rsidRPr="00F71CC6">
        <w:rPr>
          <w:rFonts w:eastAsia="Calibri" w:cs="Arial"/>
          <w:color w:val="000000" w:themeColor="text1"/>
          <w:szCs w:val="24"/>
        </w:rPr>
        <w:t xml:space="preserve">carer holding things together, often at the cost of their own health, </w:t>
      </w:r>
      <w:r w:rsidR="005B4057">
        <w:rPr>
          <w:rFonts w:eastAsia="Calibri" w:cs="Arial"/>
          <w:color w:val="000000" w:themeColor="text1"/>
          <w:szCs w:val="24"/>
        </w:rPr>
        <w:t xml:space="preserve">wellbeing, </w:t>
      </w:r>
      <w:r w:rsidRPr="00F71CC6">
        <w:rPr>
          <w:rFonts w:eastAsia="Calibri" w:cs="Arial"/>
          <w:color w:val="000000" w:themeColor="text1"/>
          <w:szCs w:val="24"/>
        </w:rPr>
        <w:t>employment and financial security.”</w:t>
      </w:r>
    </w:p>
    <w:p w14:paraId="0486CB47"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“This was the Budget to back those carers with funded, recurrent support. Instead, carers got a slogan.”</w:t>
      </w:r>
    </w:p>
    <w:p w14:paraId="42311119"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A Carer Action Plan without funding is not a plan</w:t>
      </w:r>
    </w:p>
    <w:p w14:paraId="6F69CFA9"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In 2023, the Tasmanian Government legislated to recognise and support carers, committing to develop and implement Carer Action Plans. A new Plan is currently under development, but the 2026-27 Budget allocates little or no funding for its implementation.</w:t>
      </w:r>
    </w:p>
    <w:p w14:paraId="52005D43" w14:textId="77777777" w:rsidR="005C0541" w:rsidRDefault="005C0541" w:rsidP="00F71CC6">
      <w:pPr>
        <w:spacing w:line="300" w:lineRule="auto"/>
        <w:rPr>
          <w:rFonts w:eastAsia="Calibri" w:cs="Arial"/>
          <w:color w:val="000000" w:themeColor="text1"/>
          <w:szCs w:val="24"/>
        </w:rPr>
      </w:pPr>
    </w:p>
    <w:p w14:paraId="49506F98" w14:textId="7216B84E"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lastRenderedPageBreak/>
        <w:t xml:space="preserve">“A plan without funding is </w:t>
      </w:r>
      <w:r w:rsidR="001D219B">
        <w:rPr>
          <w:rFonts w:eastAsia="Calibri" w:cs="Arial"/>
          <w:color w:val="000000" w:themeColor="text1"/>
          <w:szCs w:val="24"/>
        </w:rPr>
        <w:t>not worth the paper it’s written on</w:t>
      </w:r>
      <w:r w:rsidRPr="00F71CC6">
        <w:rPr>
          <w:rFonts w:eastAsia="Calibri" w:cs="Arial"/>
          <w:color w:val="000000" w:themeColor="text1"/>
          <w:szCs w:val="24"/>
        </w:rPr>
        <w:t>,” Dr Fox said. “Carers Tasmania is calling on the Tasmanian Government to commit dedicated, recurrent funding to implement, not just develop, the next Carer Action Plan.”</w:t>
      </w:r>
    </w:p>
    <w:p w14:paraId="2DD5F4F5"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$1.47 billion in “efficiencies” will land on the people carers support</w:t>
      </w:r>
    </w:p>
    <w:p w14:paraId="04233393" w14:textId="6A13DD12"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 xml:space="preserve">Carers Tasmania is also deeply concerned about the impact of the $1.47 billion in “operational efficiencies” the Government is requiring across the public service, including </w:t>
      </w:r>
      <w:r w:rsidR="004520B5">
        <w:rPr>
          <w:rFonts w:eastAsia="Calibri" w:cs="Arial"/>
          <w:color w:val="000000" w:themeColor="text1"/>
          <w:szCs w:val="24"/>
        </w:rPr>
        <w:t xml:space="preserve">more than </w:t>
      </w:r>
      <w:r w:rsidRPr="00F71CC6">
        <w:rPr>
          <w:rFonts w:eastAsia="Calibri" w:cs="Arial"/>
          <w:color w:val="000000" w:themeColor="text1"/>
          <w:szCs w:val="24"/>
        </w:rPr>
        <w:t>$</w:t>
      </w:r>
      <w:r w:rsidR="00044727">
        <w:rPr>
          <w:rFonts w:eastAsia="Calibri" w:cs="Arial"/>
          <w:color w:val="000000" w:themeColor="text1"/>
          <w:szCs w:val="24"/>
        </w:rPr>
        <w:t>7</w:t>
      </w:r>
      <w:r w:rsidR="004520B5">
        <w:rPr>
          <w:rFonts w:eastAsia="Calibri" w:cs="Arial"/>
          <w:color w:val="000000" w:themeColor="text1"/>
          <w:szCs w:val="24"/>
        </w:rPr>
        <w:t>00</w:t>
      </w:r>
      <w:r w:rsidRPr="00F71CC6">
        <w:rPr>
          <w:rFonts w:eastAsia="Calibri" w:cs="Arial"/>
          <w:color w:val="000000" w:themeColor="text1"/>
          <w:szCs w:val="24"/>
        </w:rPr>
        <w:t xml:space="preserve"> million from </w:t>
      </w:r>
      <w:r w:rsidR="007B5F74">
        <w:rPr>
          <w:rFonts w:eastAsia="Calibri" w:cs="Arial"/>
          <w:color w:val="000000" w:themeColor="text1"/>
          <w:szCs w:val="24"/>
        </w:rPr>
        <w:t>h</w:t>
      </w:r>
      <w:r w:rsidRPr="00F71CC6">
        <w:rPr>
          <w:rFonts w:eastAsia="Calibri" w:cs="Arial"/>
          <w:color w:val="000000" w:themeColor="text1"/>
          <w:szCs w:val="24"/>
        </w:rPr>
        <w:t>ealth alone</w:t>
      </w:r>
      <w:r w:rsidR="00044727">
        <w:rPr>
          <w:rFonts w:eastAsia="Calibri" w:cs="Arial"/>
          <w:color w:val="000000" w:themeColor="text1"/>
          <w:szCs w:val="24"/>
        </w:rPr>
        <w:t xml:space="preserve"> across the </w:t>
      </w:r>
      <w:r w:rsidR="007B5F74">
        <w:rPr>
          <w:rFonts w:eastAsia="Calibri" w:cs="Arial"/>
          <w:color w:val="000000" w:themeColor="text1"/>
          <w:szCs w:val="24"/>
        </w:rPr>
        <w:t>F</w:t>
      </w:r>
      <w:r w:rsidR="00044727">
        <w:rPr>
          <w:rFonts w:eastAsia="Calibri" w:cs="Arial"/>
          <w:color w:val="000000" w:themeColor="text1"/>
          <w:szCs w:val="24"/>
        </w:rPr>
        <w:t xml:space="preserve">orward </w:t>
      </w:r>
      <w:r w:rsidR="007B5F74">
        <w:rPr>
          <w:rFonts w:eastAsia="Calibri" w:cs="Arial"/>
          <w:color w:val="000000" w:themeColor="text1"/>
          <w:szCs w:val="24"/>
        </w:rPr>
        <w:t>E</w:t>
      </w:r>
      <w:r w:rsidR="00044727">
        <w:rPr>
          <w:rFonts w:eastAsia="Calibri" w:cs="Arial"/>
          <w:color w:val="000000" w:themeColor="text1"/>
          <w:szCs w:val="24"/>
        </w:rPr>
        <w:t>stimates</w:t>
      </w:r>
      <w:r w:rsidRPr="00F71CC6">
        <w:rPr>
          <w:rFonts w:eastAsia="Calibri" w:cs="Arial"/>
          <w:color w:val="000000" w:themeColor="text1"/>
          <w:szCs w:val="24"/>
        </w:rPr>
        <w:t>.</w:t>
      </w:r>
    </w:p>
    <w:p w14:paraId="557E3657"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“Carers and the Tasmanians they care for are the heaviest users of the health system. When ‘efficiencies’ are extracted from health, it is carers who pick up the shortfall, unpaid, unsupported, and increasingly exhausted.”</w:t>
      </w:r>
    </w:p>
    <w:p w14:paraId="65F77A53"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Education review risks compounding the load on carers and families</w:t>
      </w:r>
    </w:p>
    <w:p w14:paraId="621CB05F" w14:textId="50E727DB"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Dr Fox said the announcement of a full departmental service delivery model review of education was a particular concern for young carers and for carers of children with disability or chronic illness.</w:t>
      </w:r>
    </w:p>
    <w:p w14:paraId="01A70DC6"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“School-based learning support, allied health, and wellbeing staff are part of how families and young carers manage caring responsibilities while staying engaged with education. A review framed around ‘sustainability’ and reining in expenditure growth must not become a quiet withdrawal of the supports that keep vulnerable young Tasmanians and their carers in the school system.”</w:t>
      </w:r>
    </w:p>
    <w:p w14:paraId="00C80F91"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“We will be watching this review closely and expect carers and families to be at the table.”</w:t>
      </w:r>
    </w:p>
    <w:p w14:paraId="1609EEB8"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Uncertainty for community service organisations is uncertainty for carers</w:t>
      </w:r>
    </w:p>
    <w:p w14:paraId="1617BAEF"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Dr Fox said the projected reduction in community services output over the Forward Estimates, highlighted today by TasCOSS, was alarming for carers across the State.</w:t>
      </w:r>
    </w:p>
    <w:p w14:paraId="276B22DA" w14:textId="649346D4"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 xml:space="preserve">“Community service organisations are the safety net for vulnerable Tasmanians, and for the carers who support them. When that sector faces funding uncertainty, carers are the ones who absorb the gap. </w:t>
      </w:r>
      <w:r w:rsidR="00DC021C">
        <w:rPr>
          <w:rFonts w:eastAsia="Calibri" w:cs="Arial"/>
          <w:color w:val="000000" w:themeColor="text1"/>
          <w:szCs w:val="24"/>
        </w:rPr>
        <w:t xml:space="preserve">Community </w:t>
      </w:r>
      <w:r w:rsidR="00C110B7">
        <w:rPr>
          <w:rFonts w:eastAsia="Calibri" w:cs="Arial"/>
          <w:color w:val="000000" w:themeColor="text1"/>
          <w:szCs w:val="24"/>
        </w:rPr>
        <w:t>services</w:t>
      </w:r>
      <w:r w:rsidRPr="00F71CC6">
        <w:rPr>
          <w:rFonts w:eastAsia="Calibri" w:cs="Arial"/>
          <w:color w:val="000000" w:themeColor="text1"/>
          <w:szCs w:val="24"/>
        </w:rPr>
        <w:t xml:space="preserve"> are what keeps carers caring.”</w:t>
      </w:r>
    </w:p>
    <w:p w14:paraId="5424D3FB" w14:textId="411968D0" w:rsid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“You cannot promise a caring community while leaving the organisations that hold that community together to operate on uncertain, short-term and reducing funding.”</w:t>
      </w:r>
    </w:p>
    <w:p w14:paraId="23E53105" w14:textId="77777777" w:rsidR="00F71CC6" w:rsidRPr="007826F1" w:rsidRDefault="00F71CC6" w:rsidP="00F71CC6">
      <w:pPr>
        <w:spacing w:before="240" w:after="120"/>
        <w:rPr>
          <w:rFonts w:eastAsia="Calibri" w:cs="Arial"/>
          <w:b/>
          <w:bCs/>
          <w:color w:val="000000" w:themeColor="text1"/>
          <w:szCs w:val="24"/>
        </w:rPr>
      </w:pPr>
      <w:r w:rsidRPr="007826F1">
        <w:rPr>
          <w:rFonts w:eastAsia="Calibri" w:cs="Arial"/>
          <w:b/>
          <w:bCs/>
          <w:color w:val="000000" w:themeColor="text1"/>
          <w:szCs w:val="24"/>
        </w:rPr>
        <w:t>What Carers Tasmania is calling for</w:t>
      </w:r>
    </w:p>
    <w:p w14:paraId="2A964D1B" w14:textId="23FCB2EA"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 xml:space="preserve">Carers Tasmania acknowledges measures in the Budget that will benefit some carers, including the extension of free public transport, a meaningful cost-of-living measure for </w:t>
      </w:r>
      <w:r w:rsidR="00C47B59">
        <w:rPr>
          <w:rFonts w:eastAsia="Calibri" w:cs="Arial"/>
          <w:color w:val="000000" w:themeColor="text1"/>
          <w:szCs w:val="24"/>
        </w:rPr>
        <w:t xml:space="preserve">those </w:t>
      </w:r>
      <w:r w:rsidRPr="00F71CC6">
        <w:rPr>
          <w:rFonts w:eastAsia="Calibri" w:cs="Arial"/>
          <w:color w:val="000000" w:themeColor="text1"/>
          <w:szCs w:val="24"/>
        </w:rPr>
        <w:t>carers who</w:t>
      </w:r>
      <w:r w:rsidR="00C47B59">
        <w:rPr>
          <w:rFonts w:eastAsia="Calibri" w:cs="Arial"/>
          <w:color w:val="000000" w:themeColor="text1"/>
          <w:szCs w:val="24"/>
        </w:rPr>
        <w:t xml:space="preserve"> have access to public transport to enable them to </w:t>
      </w:r>
      <w:r w:rsidR="00C47B59">
        <w:rPr>
          <w:rFonts w:eastAsia="Calibri" w:cs="Arial"/>
          <w:color w:val="000000" w:themeColor="text1"/>
          <w:szCs w:val="24"/>
        </w:rPr>
        <w:lastRenderedPageBreak/>
        <w:t>attend</w:t>
      </w:r>
      <w:r w:rsidRPr="00F71CC6">
        <w:rPr>
          <w:rFonts w:eastAsia="Calibri" w:cs="Arial"/>
          <w:color w:val="000000" w:themeColor="text1"/>
          <w:szCs w:val="24"/>
        </w:rPr>
        <w:t xml:space="preserve"> medical appointments, respite and informal care duties.</w:t>
      </w:r>
      <w:r w:rsidR="006F7FF3">
        <w:rPr>
          <w:rFonts w:eastAsia="Calibri" w:cs="Arial"/>
          <w:color w:val="000000" w:themeColor="text1"/>
          <w:szCs w:val="24"/>
        </w:rPr>
        <w:t xml:space="preserve"> We also acknowledge funding allocated towards Thriving Kids and the 20 Year Preventative Health Strategy, noting that these allocations are unlikely to be sufficient</w:t>
      </w:r>
      <w:r w:rsidR="00326B22">
        <w:rPr>
          <w:rFonts w:eastAsia="Calibri" w:cs="Arial"/>
          <w:color w:val="000000" w:themeColor="text1"/>
          <w:szCs w:val="24"/>
        </w:rPr>
        <w:t xml:space="preserve"> to meet the significant need</w:t>
      </w:r>
      <w:r w:rsidR="00832415">
        <w:rPr>
          <w:rFonts w:eastAsia="Calibri" w:cs="Arial"/>
          <w:color w:val="000000" w:themeColor="text1"/>
          <w:szCs w:val="24"/>
        </w:rPr>
        <w:t>.</w:t>
      </w:r>
    </w:p>
    <w:p w14:paraId="6318D8CD" w14:textId="0C2DDF33"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Carers Tasmania is calling on the Tasmanian Government to:</w:t>
      </w:r>
    </w:p>
    <w:p w14:paraId="4B422210" w14:textId="77777777" w:rsidR="00F71CC6" w:rsidRPr="00F71CC6" w:rsidRDefault="00F71CC6" w:rsidP="00F71CC6">
      <w:pPr>
        <w:pStyle w:val="ListParagraph"/>
        <w:numPr>
          <w:ilvl w:val="0"/>
          <w:numId w:val="5"/>
        </w:numPr>
        <w:spacing w:after="80" w:line="240" w:lineRule="auto"/>
        <w:contextualSpacing w:val="0"/>
        <w:rPr>
          <w:rFonts w:eastAsia="Calibri" w:cs="Arial"/>
          <w:color w:val="000000" w:themeColor="text1"/>
          <w:szCs w:val="24"/>
        </w:rPr>
      </w:pPr>
      <w:r w:rsidRPr="00F71CC6">
        <w:rPr>
          <w:rFonts w:eastAsia="Calibri" w:cs="Arial"/>
          <w:color w:val="000000" w:themeColor="text1"/>
          <w:szCs w:val="24"/>
        </w:rPr>
        <w:t>commit dedicated, recurrent funding to implement the next Tasmanian Carer Action Plan;</w:t>
      </w:r>
    </w:p>
    <w:p w14:paraId="4321A7BD" w14:textId="77777777" w:rsidR="00F71CC6" w:rsidRPr="00F71CC6" w:rsidRDefault="00F71CC6" w:rsidP="00F71CC6">
      <w:pPr>
        <w:pStyle w:val="ListParagraph"/>
        <w:numPr>
          <w:ilvl w:val="0"/>
          <w:numId w:val="5"/>
        </w:numPr>
        <w:spacing w:after="80" w:line="240" w:lineRule="auto"/>
        <w:contextualSpacing w:val="0"/>
        <w:rPr>
          <w:rFonts w:eastAsia="Calibri" w:cs="Arial"/>
          <w:color w:val="000000" w:themeColor="text1"/>
          <w:szCs w:val="24"/>
        </w:rPr>
      </w:pPr>
      <w:r w:rsidRPr="00F71CC6">
        <w:rPr>
          <w:rFonts w:eastAsia="Calibri" w:cs="Arial"/>
          <w:color w:val="000000" w:themeColor="text1"/>
          <w:szCs w:val="24"/>
        </w:rPr>
        <w:t>guarantee that the planned “operational efficiencies” in health and education will not be drawn from services carers and the people they care for rely on;</w:t>
      </w:r>
    </w:p>
    <w:p w14:paraId="7D2CD506" w14:textId="77777777" w:rsidR="00F71CC6" w:rsidRPr="00F71CC6" w:rsidRDefault="00F71CC6" w:rsidP="00F71CC6">
      <w:pPr>
        <w:pStyle w:val="ListParagraph"/>
        <w:numPr>
          <w:ilvl w:val="0"/>
          <w:numId w:val="5"/>
        </w:numPr>
        <w:spacing w:after="80" w:line="240" w:lineRule="auto"/>
        <w:contextualSpacing w:val="0"/>
        <w:rPr>
          <w:rFonts w:eastAsia="Calibri" w:cs="Arial"/>
          <w:color w:val="000000" w:themeColor="text1"/>
          <w:szCs w:val="24"/>
        </w:rPr>
      </w:pPr>
      <w:r w:rsidRPr="00F71CC6">
        <w:rPr>
          <w:rFonts w:eastAsia="Calibri" w:cs="Arial"/>
          <w:color w:val="000000" w:themeColor="text1"/>
          <w:szCs w:val="24"/>
        </w:rPr>
        <w:t>provide longer-term, indexed funding certainty for the community service organisations that act as the safety net for vulnerable Tasmanians and their carers; and</w:t>
      </w:r>
    </w:p>
    <w:p w14:paraId="3BF53F71" w14:textId="0E65CBAE" w:rsidR="00F71CC6" w:rsidRPr="00F71CC6" w:rsidRDefault="00F71CC6" w:rsidP="00F71CC6">
      <w:pPr>
        <w:pStyle w:val="ListParagraph"/>
        <w:numPr>
          <w:ilvl w:val="0"/>
          <w:numId w:val="5"/>
        </w:numPr>
        <w:spacing w:after="200" w:line="240" w:lineRule="auto"/>
        <w:contextualSpacing w:val="0"/>
        <w:rPr>
          <w:rFonts w:eastAsia="Calibri" w:cs="Arial"/>
          <w:color w:val="000000" w:themeColor="text1"/>
          <w:szCs w:val="24"/>
        </w:rPr>
      </w:pPr>
      <w:r w:rsidRPr="00F71CC6">
        <w:rPr>
          <w:rFonts w:eastAsia="Calibri" w:cs="Arial"/>
          <w:color w:val="000000" w:themeColor="text1"/>
          <w:szCs w:val="24"/>
        </w:rPr>
        <w:t xml:space="preserve">engage directly with carers and the carer sector in the design of the </w:t>
      </w:r>
      <w:r w:rsidR="00803C5C">
        <w:rPr>
          <w:rFonts w:eastAsia="Calibri" w:cs="Arial"/>
          <w:color w:val="000000" w:themeColor="text1"/>
          <w:szCs w:val="24"/>
        </w:rPr>
        <w:t>e</w:t>
      </w:r>
      <w:r w:rsidRPr="00F71CC6">
        <w:rPr>
          <w:rFonts w:eastAsia="Calibri" w:cs="Arial"/>
          <w:color w:val="000000" w:themeColor="text1"/>
          <w:szCs w:val="24"/>
        </w:rPr>
        <w:t>ducation service delivery model review and the response to Federal NDIS and aged care changes.</w:t>
      </w:r>
    </w:p>
    <w:p w14:paraId="4A8F9A0E" w14:textId="77777777" w:rsidR="00F71CC6" w:rsidRPr="00F71CC6" w:rsidRDefault="00F71CC6" w:rsidP="00F71CC6">
      <w:pPr>
        <w:spacing w:line="300" w:lineRule="auto"/>
        <w:rPr>
          <w:rFonts w:eastAsia="Calibri" w:cs="Arial"/>
          <w:color w:val="000000" w:themeColor="text1"/>
          <w:szCs w:val="24"/>
        </w:rPr>
      </w:pPr>
      <w:r w:rsidRPr="00F71CC6">
        <w:rPr>
          <w:rFonts w:eastAsia="Calibri" w:cs="Arial"/>
          <w:color w:val="000000" w:themeColor="text1"/>
          <w:szCs w:val="24"/>
        </w:rPr>
        <w:t>“Tasmania’s 87,000 carers save the State and Federal budgets billions of dollars in care that would otherwise fall to the public system,” Dr Fox said. “The least they can expect is a Budget that recognises their contribution with more than a slogan.”</w:t>
      </w:r>
    </w:p>
    <w:p w14:paraId="1684E3F4" w14:textId="4B32748E" w:rsidR="00706393" w:rsidRDefault="004E66C6" w:rsidP="00D77599">
      <w:pPr>
        <w:spacing w:before="240"/>
        <w:jc w:val="both"/>
        <w:rPr>
          <w:rFonts w:cs="Arial"/>
          <w:b/>
          <w:bCs/>
          <w:szCs w:val="24"/>
          <w:shd w:val="clear" w:color="auto" w:fill="FFFFFF"/>
        </w:rPr>
      </w:pPr>
      <w:r>
        <w:rPr>
          <w:rFonts w:cs="Arial"/>
          <w:b/>
          <w:bCs/>
          <w:szCs w:val="24"/>
          <w:shd w:val="clear" w:color="auto" w:fill="FFFFFF"/>
        </w:rPr>
        <w:t>- END -</w:t>
      </w:r>
    </w:p>
    <w:p w14:paraId="3D1F1EBF" w14:textId="77777777" w:rsidR="007B5F74" w:rsidRDefault="007B5F74" w:rsidP="00D77599">
      <w:pPr>
        <w:spacing w:before="240"/>
        <w:jc w:val="both"/>
        <w:rPr>
          <w:rFonts w:eastAsia="Times New Roman" w:cs="Arial"/>
          <w:b/>
          <w:bCs/>
          <w:color w:val="000000" w:themeColor="text1"/>
          <w:szCs w:val="24"/>
        </w:rPr>
      </w:pPr>
    </w:p>
    <w:p w14:paraId="7AF01762" w14:textId="77777777" w:rsidR="007B5F74" w:rsidRDefault="007B5F74" w:rsidP="00D77599">
      <w:pPr>
        <w:spacing w:before="240"/>
        <w:jc w:val="both"/>
        <w:rPr>
          <w:rFonts w:eastAsia="Times New Roman" w:cs="Arial"/>
          <w:b/>
          <w:bCs/>
          <w:color w:val="000000" w:themeColor="text1"/>
          <w:szCs w:val="24"/>
        </w:rPr>
      </w:pPr>
    </w:p>
    <w:p w14:paraId="4469B6F9" w14:textId="67BE0D59" w:rsidR="00D77599" w:rsidRPr="00123F2F" w:rsidRDefault="00D77599" w:rsidP="00D77599">
      <w:pPr>
        <w:spacing w:before="240"/>
        <w:jc w:val="both"/>
        <w:rPr>
          <w:rFonts w:cs="Arial"/>
          <w:szCs w:val="24"/>
        </w:rPr>
      </w:pPr>
      <w:r w:rsidRPr="00123F2F">
        <w:rPr>
          <w:rFonts w:eastAsia="Times New Roman" w:cs="Arial"/>
          <w:b/>
          <w:bCs/>
          <w:color w:val="000000" w:themeColor="text1"/>
          <w:szCs w:val="24"/>
        </w:rPr>
        <w:t>About Carers Tasmania</w:t>
      </w:r>
    </w:p>
    <w:p w14:paraId="269D55A3" w14:textId="77777777" w:rsidR="00D77599" w:rsidRDefault="00D77599" w:rsidP="00D77599">
      <w:pPr>
        <w:rPr>
          <w:rFonts w:eastAsia="Calibri" w:cs="Arial"/>
          <w:color w:val="000000" w:themeColor="text1"/>
          <w:szCs w:val="24"/>
        </w:rPr>
      </w:pPr>
      <w:r w:rsidRPr="00123F2F">
        <w:rPr>
          <w:rFonts w:eastAsia="Calibri" w:cs="Arial"/>
          <w:color w:val="000000" w:themeColor="text1"/>
          <w:szCs w:val="24"/>
        </w:rPr>
        <w:t>Carers Tasmania is the peak body representing the more than 8</w:t>
      </w:r>
      <w:r>
        <w:rPr>
          <w:rFonts w:eastAsia="Calibri" w:cs="Arial"/>
          <w:color w:val="000000" w:themeColor="text1"/>
          <w:szCs w:val="24"/>
        </w:rPr>
        <w:t>7</w:t>
      </w:r>
      <w:r w:rsidRPr="00123F2F">
        <w:rPr>
          <w:rFonts w:eastAsia="Calibri" w:cs="Arial"/>
          <w:color w:val="000000" w:themeColor="text1"/>
          <w:szCs w:val="24"/>
        </w:rPr>
        <w:t>,000 informal carers in the state. Carers Tasmania’s vision is for an Australia that values and supports carers. With a mission to work to improve the health, wellbeing, resilience, and financial security of carers and to ensure that caring is a shared responsibility of the family, community, and the government.</w:t>
      </w:r>
      <w:r>
        <w:rPr>
          <w:rFonts w:eastAsia="Calibri" w:cs="Arial"/>
          <w:color w:val="000000" w:themeColor="text1"/>
          <w:szCs w:val="24"/>
        </w:rPr>
        <w:t xml:space="preserve"> </w:t>
      </w:r>
      <w:r w:rsidRPr="00123F2F">
        <w:rPr>
          <w:rFonts w:eastAsia="Calibri" w:cs="Arial"/>
          <w:color w:val="000000" w:themeColor="text1"/>
          <w:szCs w:val="24"/>
        </w:rPr>
        <w:t>Carers Tasmania has offices in Hobart, Launceston, and Burnie.</w:t>
      </w:r>
    </w:p>
    <w:p w14:paraId="7CEB0642" w14:textId="77777777" w:rsidR="00D77599" w:rsidRPr="00123F2F" w:rsidRDefault="00D77599" w:rsidP="00D77599">
      <w:pPr>
        <w:jc w:val="both"/>
        <w:rPr>
          <w:rFonts w:eastAsia="Calibri" w:cs="Arial"/>
          <w:b/>
          <w:bCs/>
          <w:color w:val="000000" w:themeColor="text1"/>
          <w:szCs w:val="24"/>
        </w:rPr>
      </w:pPr>
      <w:r w:rsidRPr="00123F2F">
        <w:rPr>
          <w:rFonts w:eastAsia="Calibri" w:cs="Arial"/>
          <w:b/>
          <w:bCs/>
          <w:color w:val="000000" w:themeColor="text1"/>
          <w:szCs w:val="24"/>
        </w:rPr>
        <w:t>About Carers</w:t>
      </w:r>
    </w:p>
    <w:p w14:paraId="5F5C0D15" w14:textId="77777777" w:rsidR="00D77599" w:rsidRDefault="00D77599" w:rsidP="00D77599">
      <w:pPr>
        <w:rPr>
          <w:rFonts w:eastAsia="Calibri" w:cs="Arial"/>
          <w:color w:val="000000" w:themeColor="text1"/>
          <w:szCs w:val="24"/>
        </w:rPr>
      </w:pPr>
      <w:r w:rsidRPr="004A2C09">
        <w:rPr>
          <w:rFonts w:eastAsia="Calibri" w:cs="Arial"/>
          <w:color w:val="000000" w:themeColor="text1"/>
          <w:szCs w:val="24"/>
        </w:rPr>
        <w:t>A carer is a person who provides unpaid care and support to a family member</w:t>
      </w:r>
      <w:r>
        <w:rPr>
          <w:rFonts w:eastAsia="Calibri" w:cs="Arial"/>
          <w:color w:val="000000" w:themeColor="text1"/>
          <w:szCs w:val="24"/>
        </w:rPr>
        <w:t xml:space="preserve"> or friend with disability, mental ill health, a chronic or life-limiting condition, alcohol or other drug dependence, or who is</w:t>
      </w:r>
      <w:r w:rsidRPr="004A2C09">
        <w:rPr>
          <w:rFonts w:eastAsia="Calibri" w:cs="Arial"/>
          <w:color w:val="000000" w:themeColor="text1"/>
          <w:szCs w:val="24"/>
        </w:rPr>
        <w:t xml:space="preserve"> frail or aged. Informal kinship carers who care for a child under the age of 18</w:t>
      </w:r>
      <w:r>
        <w:rPr>
          <w:rFonts w:eastAsia="Calibri" w:cs="Arial"/>
          <w:color w:val="000000" w:themeColor="text1"/>
          <w:szCs w:val="24"/>
        </w:rPr>
        <w:t xml:space="preserve"> because the parent is unable to</w:t>
      </w:r>
      <w:r w:rsidRPr="004A2C09">
        <w:rPr>
          <w:rFonts w:eastAsia="Calibri" w:cs="Arial"/>
          <w:color w:val="000000" w:themeColor="text1"/>
          <w:szCs w:val="24"/>
        </w:rPr>
        <w:t xml:space="preserve"> are also recognised as carers</w:t>
      </w:r>
      <w:r>
        <w:rPr>
          <w:rFonts w:eastAsia="Calibri" w:cs="Arial"/>
          <w:color w:val="000000" w:themeColor="text1"/>
          <w:szCs w:val="24"/>
        </w:rPr>
        <w:t xml:space="preserve">. </w:t>
      </w:r>
      <w:r w:rsidRPr="00D60F05">
        <w:rPr>
          <w:rFonts w:eastAsia="Calibri" w:cs="Arial"/>
          <w:color w:val="000000" w:themeColor="text1"/>
          <w:szCs w:val="24"/>
        </w:rPr>
        <w:t>Carers are predominantly family members but may also be friends, neighbours, or colleagues.</w:t>
      </w:r>
    </w:p>
    <w:p w14:paraId="696EC940" w14:textId="77777777" w:rsidR="0064333D" w:rsidRPr="00104C61" w:rsidRDefault="00D77599" w:rsidP="00104C61">
      <w:pPr>
        <w:rPr>
          <w:rFonts w:eastAsia="Calibri" w:cs="Arial"/>
          <w:color w:val="000000" w:themeColor="text1"/>
          <w:szCs w:val="24"/>
        </w:rPr>
      </w:pPr>
      <w:r w:rsidRPr="009F3BC4">
        <w:rPr>
          <w:rFonts w:eastAsia="Calibri" w:cs="Arial"/>
          <w:color w:val="000000" w:themeColor="text1"/>
          <w:szCs w:val="24"/>
        </w:rPr>
        <w:t xml:space="preserve">Informal carers are distinct from paid support workers, who are also colloquially called ‘carers’ but fully employed and remunerated with all the employment benefits. </w:t>
      </w:r>
      <w:r w:rsidRPr="009F3BC4">
        <w:rPr>
          <w:rFonts w:eastAsia="Calibri" w:cs="Arial"/>
          <w:color w:val="000000" w:themeColor="text1"/>
          <w:szCs w:val="24"/>
        </w:rPr>
        <w:lastRenderedPageBreak/>
        <w:t>Conversely, family carers perform their caring duties without remuneration other than minimal carer payments and allowances from the Department of Social Services.</w:t>
      </w:r>
    </w:p>
    <w:p w14:paraId="4B9DCC82" w14:textId="77777777" w:rsidR="007B5F74" w:rsidRDefault="007B5F74" w:rsidP="0014495C">
      <w:pPr>
        <w:jc w:val="both"/>
        <w:rPr>
          <w:rFonts w:cs="Arial"/>
          <w:b/>
          <w:bCs/>
          <w:szCs w:val="24"/>
        </w:rPr>
      </w:pPr>
    </w:p>
    <w:p w14:paraId="5318A29A" w14:textId="284DCC27" w:rsidR="004500CF" w:rsidRPr="00123F2F" w:rsidRDefault="004500CF" w:rsidP="0014495C">
      <w:pPr>
        <w:jc w:val="both"/>
        <w:rPr>
          <w:rFonts w:cs="Arial"/>
          <w:b/>
          <w:bCs/>
          <w:szCs w:val="24"/>
        </w:rPr>
      </w:pPr>
      <w:r w:rsidRPr="00123F2F">
        <w:rPr>
          <w:rFonts w:cs="Arial"/>
          <w:b/>
          <w:bCs/>
          <w:szCs w:val="24"/>
        </w:rPr>
        <w:t xml:space="preserve">Media Contact </w:t>
      </w:r>
    </w:p>
    <w:p w14:paraId="55D080A1" w14:textId="77777777" w:rsidR="007B5F74" w:rsidRDefault="00672A06" w:rsidP="00F820A5">
      <w:pPr>
        <w:spacing w:after="0"/>
        <w:rPr>
          <w:rFonts w:cs="Arial"/>
          <w:szCs w:val="24"/>
        </w:rPr>
      </w:pPr>
      <w:r>
        <w:rPr>
          <w:rFonts w:cs="Arial"/>
          <w:szCs w:val="24"/>
        </w:rPr>
        <w:t>Steve Alden</w:t>
      </w:r>
      <w:r w:rsidR="00976FCC">
        <w:rPr>
          <w:rFonts w:cs="Arial"/>
          <w:szCs w:val="24"/>
        </w:rPr>
        <w:t xml:space="preserve"> |</w:t>
      </w:r>
      <w:r w:rsidR="004500CF">
        <w:rPr>
          <w:rFonts w:cs="Arial"/>
          <w:szCs w:val="24"/>
        </w:rPr>
        <w:t xml:space="preserve"> </w:t>
      </w:r>
      <w:r>
        <w:rPr>
          <w:rFonts w:cs="Arial"/>
          <w:szCs w:val="24"/>
        </w:rPr>
        <w:t>(03) 6144 3700</w:t>
      </w:r>
    </w:p>
    <w:p w14:paraId="7322C35C" w14:textId="7FBB76FB" w:rsidR="00672A06" w:rsidRDefault="00672A06" w:rsidP="00F820A5">
      <w:pPr>
        <w:spacing w:after="0"/>
        <w:rPr>
          <w:rFonts w:cs="Arial"/>
          <w:szCs w:val="24"/>
        </w:rPr>
      </w:pPr>
      <w:r>
        <w:rPr>
          <w:rFonts w:cs="Arial"/>
          <w:szCs w:val="24"/>
        </w:rPr>
        <w:br/>
      </w:r>
      <w:r w:rsidR="00F820A5">
        <w:rPr>
          <w:rFonts w:cs="Arial"/>
          <w:szCs w:val="24"/>
        </w:rPr>
        <w:t xml:space="preserve">  </w:t>
      </w:r>
    </w:p>
    <w:p w14:paraId="17ADA353" w14:textId="77777777" w:rsidR="00D77599" w:rsidRDefault="00D77599" w:rsidP="00F820A5">
      <w:pPr>
        <w:spacing w:after="0"/>
        <w:rPr>
          <w:rFonts w:cs="Arial"/>
          <w:szCs w:val="24"/>
        </w:rPr>
      </w:pPr>
      <w:r>
        <w:rPr>
          <w:rFonts w:cs="Arial"/>
          <w:noProof/>
          <w:szCs w:val="24"/>
        </w:rPr>
        <w:drawing>
          <wp:inline distT="0" distB="0" distL="0" distR="0" wp14:anchorId="286D884D" wp14:editId="17277F4F">
            <wp:extent cx="5724525" cy="704850"/>
            <wp:effectExtent l="0" t="0" r="9525" b="0"/>
            <wp:docPr id="1330134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inline>
        </w:drawing>
      </w:r>
    </w:p>
    <w:p w14:paraId="7B5F6736" w14:textId="77777777" w:rsidR="00D77599" w:rsidRDefault="00D77599" w:rsidP="00F820A5">
      <w:pPr>
        <w:spacing w:after="0"/>
        <w:rPr>
          <w:rFonts w:cs="Arial"/>
          <w:szCs w:val="24"/>
        </w:rPr>
      </w:pPr>
    </w:p>
    <w:p w14:paraId="16078E70" w14:textId="77777777" w:rsidR="00F820A5" w:rsidRPr="009F3BC4" w:rsidRDefault="00D77599" w:rsidP="00F820A5">
      <w:pPr>
        <w:spacing w:after="0"/>
        <w:rPr>
          <w:rFonts w:cs="Arial"/>
          <w:szCs w:val="24"/>
        </w:rPr>
      </w:pPr>
      <w:r>
        <w:rPr>
          <w:rFonts w:cs="Arial"/>
          <w:noProof/>
          <w:szCs w:val="24"/>
        </w:rPr>
        <w:drawing>
          <wp:inline distT="0" distB="0" distL="0" distR="0" wp14:anchorId="1B7DDCCA" wp14:editId="25CAEC45">
            <wp:extent cx="1628775" cy="615953"/>
            <wp:effectExtent l="0" t="0" r="0" b="0"/>
            <wp:docPr id="1596010405" name="Picture 2" descr="A blue and green rectangle with a white star and a white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10405" name="Picture 2" descr="A blue and green rectangle with a white star and a white ha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3" cy="621704"/>
                    </a:xfrm>
                    <a:prstGeom prst="rect">
                      <a:avLst/>
                    </a:prstGeom>
                    <a:noFill/>
                    <a:ln>
                      <a:noFill/>
                    </a:ln>
                  </pic:spPr>
                </pic:pic>
              </a:graphicData>
            </a:graphic>
          </wp:inline>
        </w:drawing>
      </w:r>
      <w:r w:rsidR="00672A06">
        <w:rPr>
          <w:rFonts w:cs="Arial"/>
          <w:szCs w:val="24"/>
        </w:rPr>
        <w:br/>
      </w:r>
      <w:r w:rsidR="00F820A5">
        <w:rPr>
          <w:rFonts w:cs="Arial"/>
          <w:szCs w:val="24"/>
        </w:rPr>
        <w:t xml:space="preserve">                  </w:t>
      </w:r>
    </w:p>
    <w:p w14:paraId="3AF01011" w14:textId="77777777" w:rsidR="00F820A5" w:rsidRDefault="00F820A5"/>
    <w:sectPr w:rsidR="00F820A5" w:rsidSect="00D77599">
      <w:head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E8D0" w14:textId="77777777" w:rsidR="00DA21A1" w:rsidRDefault="00DA21A1" w:rsidP="004500CF">
      <w:pPr>
        <w:spacing w:after="0" w:line="240" w:lineRule="auto"/>
      </w:pPr>
      <w:r>
        <w:separator/>
      </w:r>
    </w:p>
  </w:endnote>
  <w:endnote w:type="continuationSeparator" w:id="0">
    <w:p w14:paraId="760B2A74" w14:textId="77777777" w:rsidR="00DA21A1" w:rsidRDefault="00DA21A1" w:rsidP="004500CF">
      <w:pPr>
        <w:spacing w:after="0" w:line="240" w:lineRule="auto"/>
      </w:pPr>
      <w:r>
        <w:continuationSeparator/>
      </w:r>
    </w:p>
  </w:endnote>
  <w:endnote w:type="continuationNotice" w:id="1">
    <w:p w14:paraId="3B670ADA" w14:textId="77777777" w:rsidR="00DA21A1" w:rsidRDefault="00DA2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4246" w14:textId="77777777" w:rsidR="00DA21A1" w:rsidRDefault="00DA21A1" w:rsidP="004500CF">
      <w:pPr>
        <w:spacing w:after="0" w:line="240" w:lineRule="auto"/>
      </w:pPr>
      <w:r>
        <w:separator/>
      </w:r>
    </w:p>
  </w:footnote>
  <w:footnote w:type="continuationSeparator" w:id="0">
    <w:p w14:paraId="58EBF314" w14:textId="77777777" w:rsidR="00DA21A1" w:rsidRDefault="00DA21A1" w:rsidP="004500CF">
      <w:pPr>
        <w:spacing w:after="0" w:line="240" w:lineRule="auto"/>
      </w:pPr>
      <w:r>
        <w:continuationSeparator/>
      </w:r>
    </w:p>
  </w:footnote>
  <w:footnote w:type="continuationNotice" w:id="1">
    <w:p w14:paraId="1BD6B04B" w14:textId="77777777" w:rsidR="00DA21A1" w:rsidRDefault="00DA2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571F" w14:textId="77777777" w:rsidR="004500CF" w:rsidRDefault="00D77599" w:rsidP="00D77599">
    <w:pPr>
      <w:pStyle w:val="Header"/>
    </w:pPr>
    <w:r>
      <w:rPr>
        <w:noProof/>
      </w:rPr>
      <w:drawing>
        <wp:anchor distT="0" distB="0" distL="114300" distR="114300" simplePos="0" relativeHeight="251658240" behindDoc="1" locked="0" layoutInCell="1" allowOverlap="1" wp14:anchorId="7F6EEE88" wp14:editId="6C8CBD86">
          <wp:simplePos x="0" y="0"/>
          <wp:positionH relativeFrom="margin">
            <wp:align>left</wp:align>
          </wp:positionH>
          <wp:positionV relativeFrom="topMargin">
            <wp:posOffset>191770</wp:posOffset>
          </wp:positionV>
          <wp:extent cx="2152650" cy="560705"/>
          <wp:effectExtent l="0" t="0" r="0" b="0"/>
          <wp:wrapTight wrapText="bothSides">
            <wp:wrapPolygon edited="0">
              <wp:start x="2676" y="0"/>
              <wp:lineTo x="1529" y="2202"/>
              <wp:lineTo x="956" y="5871"/>
              <wp:lineTo x="956" y="12476"/>
              <wp:lineTo x="0" y="16145"/>
              <wp:lineTo x="191" y="17613"/>
              <wp:lineTo x="2294" y="20548"/>
              <wp:lineTo x="4779" y="20548"/>
              <wp:lineTo x="13189" y="19080"/>
              <wp:lineTo x="21409" y="16145"/>
              <wp:lineTo x="21409" y="6605"/>
              <wp:lineTo x="18542" y="5137"/>
              <wp:lineTo x="3632" y="0"/>
              <wp:lineTo x="2676" y="0"/>
            </wp:wrapPolygon>
          </wp:wrapTight>
          <wp:docPr id="69571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6BA"/>
    <w:multiLevelType w:val="hybridMultilevel"/>
    <w:tmpl w:val="1916CF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F6A624B"/>
    <w:multiLevelType w:val="hybridMultilevel"/>
    <w:tmpl w:val="67E05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C50456"/>
    <w:multiLevelType w:val="hybridMultilevel"/>
    <w:tmpl w:val="2C365F1C"/>
    <w:lvl w:ilvl="0" w:tplc="0E4CF6A6">
      <w:start w:val="1"/>
      <w:numFmt w:val="bullet"/>
      <w:lvlText w:val="●"/>
      <w:lvlJc w:val="left"/>
      <w:pPr>
        <w:ind w:left="720" w:hanging="360"/>
      </w:pPr>
    </w:lvl>
    <w:lvl w:ilvl="1" w:tplc="DE449858">
      <w:start w:val="1"/>
      <w:numFmt w:val="bullet"/>
      <w:lvlText w:val="○"/>
      <w:lvlJc w:val="left"/>
      <w:pPr>
        <w:ind w:left="1440" w:hanging="360"/>
      </w:pPr>
    </w:lvl>
    <w:lvl w:ilvl="2" w:tplc="E9D4F8D6">
      <w:start w:val="1"/>
      <w:numFmt w:val="bullet"/>
      <w:lvlText w:val="■"/>
      <w:lvlJc w:val="left"/>
      <w:pPr>
        <w:ind w:left="2160" w:hanging="360"/>
      </w:pPr>
    </w:lvl>
    <w:lvl w:ilvl="3" w:tplc="CA826E46">
      <w:start w:val="1"/>
      <w:numFmt w:val="bullet"/>
      <w:lvlText w:val="●"/>
      <w:lvlJc w:val="left"/>
      <w:pPr>
        <w:ind w:left="2880" w:hanging="360"/>
      </w:pPr>
    </w:lvl>
    <w:lvl w:ilvl="4" w:tplc="FA52C3BA">
      <w:start w:val="1"/>
      <w:numFmt w:val="bullet"/>
      <w:lvlText w:val="○"/>
      <w:lvlJc w:val="left"/>
      <w:pPr>
        <w:ind w:left="3600" w:hanging="360"/>
      </w:pPr>
    </w:lvl>
    <w:lvl w:ilvl="5" w:tplc="459E385A">
      <w:start w:val="1"/>
      <w:numFmt w:val="bullet"/>
      <w:lvlText w:val="■"/>
      <w:lvlJc w:val="left"/>
      <w:pPr>
        <w:ind w:left="4320" w:hanging="360"/>
      </w:pPr>
    </w:lvl>
    <w:lvl w:ilvl="6" w:tplc="4E4AD8B2">
      <w:start w:val="1"/>
      <w:numFmt w:val="bullet"/>
      <w:lvlText w:val="●"/>
      <w:lvlJc w:val="left"/>
      <w:pPr>
        <w:ind w:left="5040" w:hanging="360"/>
      </w:pPr>
    </w:lvl>
    <w:lvl w:ilvl="7" w:tplc="D036476E">
      <w:start w:val="1"/>
      <w:numFmt w:val="bullet"/>
      <w:lvlText w:val="●"/>
      <w:lvlJc w:val="left"/>
      <w:pPr>
        <w:ind w:left="5760" w:hanging="360"/>
      </w:pPr>
    </w:lvl>
    <w:lvl w:ilvl="8" w:tplc="D1402F72">
      <w:start w:val="1"/>
      <w:numFmt w:val="bullet"/>
      <w:lvlText w:val="●"/>
      <w:lvlJc w:val="left"/>
      <w:pPr>
        <w:ind w:left="6480" w:hanging="360"/>
      </w:pPr>
    </w:lvl>
  </w:abstractNum>
  <w:abstractNum w:abstractNumId="3" w15:restartNumberingAfterBreak="0">
    <w:nsid w:val="46DF1137"/>
    <w:multiLevelType w:val="multilevel"/>
    <w:tmpl w:val="3E1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7B1A59"/>
    <w:multiLevelType w:val="hybridMultilevel"/>
    <w:tmpl w:val="2312D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7143889">
    <w:abstractNumId w:val="0"/>
  </w:num>
  <w:num w:numId="2" w16cid:durableId="1294098563">
    <w:abstractNumId w:val="3"/>
  </w:num>
  <w:num w:numId="3" w16cid:durableId="1654488899">
    <w:abstractNumId w:val="4"/>
  </w:num>
  <w:num w:numId="4" w16cid:durableId="853764040">
    <w:abstractNumId w:val="1"/>
  </w:num>
  <w:num w:numId="5" w16cid:durableId="1549273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D6"/>
    <w:rsid w:val="00005C66"/>
    <w:rsid w:val="00022779"/>
    <w:rsid w:val="0002583C"/>
    <w:rsid w:val="00034619"/>
    <w:rsid w:val="00044727"/>
    <w:rsid w:val="00045090"/>
    <w:rsid w:val="000627D2"/>
    <w:rsid w:val="000836C0"/>
    <w:rsid w:val="00084B9D"/>
    <w:rsid w:val="00086F84"/>
    <w:rsid w:val="00097DA2"/>
    <w:rsid w:val="000A6B00"/>
    <w:rsid w:val="000B234E"/>
    <w:rsid w:val="000C0483"/>
    <w:rsid w:val="000C60D3"/>
    <w:rsid w:val="000D0D42"/>
    <w:rsid w:val="000F0778"/>
    <w:rsid w:val="000F2BF1"/>
    <w:rsid w:val="000F4BA8"/>
    <w:rsid w:val="00101841"/>
    <w:rsid w:val="001018FE"/>
    <w:rsid w:val="001029D9"/>
    <w:rsid w:val="00104C61"/>
    <w:rsid w:val="00106346"/>
    <w:rsid w:val="001156B8"/>
    <w:rsid w:val="00124802"/>
    <w:rsid w:val="0012572C"/>
    <w:rsid w:val="00130DF6"/>
    <w:rsid w:val="00131B53"/>
    <w:rsid w:val="00143BD2"/>
    <w:rsid w:val="0014495C"/>
    <w:rsid w:val="00147376"/>
    <w:rsid w:val="00160854"/>
    <w:rsid w:val="0016522E"/>
    <w:rsid w:val="0017499B"/>
    <w:rsid w:val="0018066F"/>
    <w:rsid w:val="001B05C0"/>
    <w:rsid w:val="001C0729"/>
    <w:rsid w:val="001C0B61"/>
    <w:rsid w:val="001C1284"/>
    <w:rsid w:val="001C477F"/>
    <w:rsid w:val="001D219B"/>
    <w:rsid w:val="001E295D"/>
    <w:rsid w:val="00203344"/>
    <w:rsid w:val="00216D91"/>
    <w:rsid w:val="00216FEA"/>
    <w:rsid w:val="00220D60"/>
    <w:rsid w:val="00260682"/>
    <w:rsid w:val="00262F0E"/>
    <w:rsid w:val="00270219"/>
    <w:rsid w:val="00274FBF"/>
    <w:rsid w:val="00277773"/>
    <w:rsid w:val="0029281C"/>
    <w:rsid w:val="002C1F3A"/>
    <w:rsid w:val="002C3A62"/>
    <w:rsid w:val="002C6290"/>
    <w:rsid w:val="002C69A0"/>
    <w:rsid w:val="002D08CE"/>
    <w:rsid w:val="002D30A3"/>
    <w:rsid w:val="002F6B8A"/>
    <w:rsid w:val="002F7EF4"/>
    <w:rsid w:val="003039D1"/>
    <w:rsid w:val="00312819"/>
    <w:rsid w:val="00322B22"/>
    <w:rsid w:val="003236A8"/>
    <w:rsid w:val="00325415"/>
    <w:rsid w:val="0032580C"/>
    <w:rsid w:val="00326B22"/>
    <w:rsid w:val="003273C7"/>
    <w:rsid w:val="00334A2E"/>
    <w:rsid w:val="0036290C"/>
    <w:rsid w:val="00362CE7"/>
    <w:rsid w:val="00363AD8"/>
    <w:rsid w:val="003646EA"/>
    <w:rsid w:val="00367611"/>
    <w:rsid w:val="00371B8D"/>
    <w:rsid w:val="00372A24"/>
    <w:rsid w:val="00375192"/>
    <w:rsid w:val="00380A20"/>
    <w:rsid w:val="003971DD"/>
    <w:rsid w:val="003B0E46"/>
    <w:rsid w:val="003B0F4A"/>
    <w:rsid w:val="003C7F2A"/>
    <w:rsid w:val="003D6A36"/>
    <w:rsid w:val="00425829"/>
    <w:rsid w:val="00431C6F"/>
    <w:rsid w:val="0043299F"/>
    <w:rsid w:val="00437345"/>
    <w:rsid w:val="00445A77"/>
    <w:rsid w:val="004500CF"/>
    <w:rsid w:val="004520B5"/>
    <w:rsid w:val="004535EB"/>
    <w:rsid w:val="00463D06"/>
    <w:rsid w:val="00466812"/>
    <w:rsid w:val="00473FFE"/>
    <w:rsid w:val="004A22B4"/>
    <w:rsid w:val="004D5B69"/>
    <w:rsid w:val="004D5BDA"/>
    <w:rsid w:val="004E66C6"/>
    <w:rsid w:val="005048D8"/>
    <w:rsid w:val="00531FFA"/>
    <w:rsid w:val="00541A26"/>
    <w:rsid w:val="00545C3B"/>
    <w:rsid w:val="005737A6"/>
    <w:rsid w:val="005856C2"/>
    <w:rsid w:val="005876A1"/>
    <w:rsid w:val="005A286E"/>
    <w:rsid w:val="005A46A2"/>
    <w:rsid w:val="005A6FF5"/>
    <w:rsid w:val="005B1ABA"/>
    <w:rsid w:val="005B4057"/>
    <w:rsid w:val="005C0541"/>
    <w:rsid w:val="005C15D6"/>
    <w:rsid w:val="005E1476"/>
    <w:rsid w:val="005E5F61"/>
    <w:rsid w:val="005F586B"/>
    <w:rsid w:val="00613A72"/>
    <w:rsid w:val="00620A7F"/>
    <w:rsid w:val="0062323B"/>
    <w:rsid w:val="00623554"/>
    <w:rsid w:val="006278F2"/>
    <w:rsid w:val="00631E1B"/>
    <w:rsid w:val="006332A0"/>
    <w:rsid w:val="0064333D"/>
    <w:rsid w:val="006541F5"/>
    <w:rsid w:val="00655517"/>
    <w:rsid w:val="00656709"/>
    <w:rsid w:val="00662EDE"/>
    <w:rsid w:val="006705B6"/>
    <w:rsid w:val="0067108A"/>
    <w:rsid w:val="00672A06"/>
    <w:rsid w:val="00682E3F"/>
    <w:rsid w:val="0068501C"/>
    <w:rsid w:val="00690A14"/>
    <w:rsid w:val="006979B3"/>
    <w:rsid w:val="006A55E1"/>
    <w:rsid w:val="006A6AFD"/>
    <w:rsid w:val="006A702A"/>
    <w:rsid w:val="006B0B7C"/>
    <w:rsid w:val="006B2F82"/>
    <w:rsid w:val="006B435E"/>
    <w:rsid w:val="006C2DE3"/>
    <w:rsid w:val="006C4EAC"/>
    <w:rsid w:val="006D4A49"/>
    <w:rsid w:val="006D5515"/>
    <w:rsid w:val="006F0F0D"/>
    <w:rsid w:val="006F3C91"/>
    <w:rsid w:val="006F5270"/>
    <w:rsid w:val="006F5A24"/>
    <w:rsid w:val="006F7FF3"/>
    <w:rsid w:val="00703ADD"/>
    <w:rsid w:val="00704781"/>
    <w:rsid w:val="00706393"/>
    <w:rsid w:val="007137CD"/>
    <w:rsid w:val="00713835"/>
    <w:rsid w:val="00713AD2"/>
    <w:rsid w:val="0071635D"/>
    <w:rsid w:val="00724292"/>
    <w:rsid w:val="00725BB5"/>
    <w:rsid w:val="00725E2E"/>
    <w:rsid w:val="00737325"/>
    <w:rsid w:val="0075088D"/>
    <w:rsid w:val="007510CA"/>
    <w:rsid w:val="00751EF0"/>
    <w:rsid w:val="007524B1"/>
    <w:rsid w:val="0076534F"/>
    <w:rsid w:val="0077045B"/>
    <w:rsid w:val="007826F1"/>
    <w:rsid w:val="0079035E"/>
    <w:rsid w:val="007908FE"/>
    <w:rsid w:val="00792CDA"/>
    <w:rsid w:val="00794348"/>
    <w:rsid w:val="007A0215"/>
    <w:rsid w:val="007B5F74"/>
    <w:rsid w:val="007D3030"/>
    <w:rsid w:val="007E1BEC"/>
    <w:rsid w:val="007F310F"/>
    <w:rsid w:val="007F67B6"/>
    <w:rsid w:val="00803C5C"/>
    <w:rsid w:val="0080523A"/>
    <w:rsid w:val="008223D6"/>
    <w:rsid w:val="00832415"/>
    <w:rsid w:val="00842C31"/>
    <w:rsid w:val="00853B3B"/>
    <w:rsid w:val="00860ACB"/>
    <w:rsid w:val="00861369"/>
    <w:rsid w:val="00862398"/>
    <w:rsid w:val="00866918"/>
    <w:rsid w:val="00867555"/>
    <w:rsid w:val="00871BAB"/>
    <w:rsid w:val="008758A2"/>
    <w:rsid w:val="008922B1"/>
    <w:rsid w:val="008A4A80"/>
    <w:rsid w:val="008A7150"/>
    <w:rsid w:val="008B0F18"/>
    <w:rsid w:val="008B58CC"/>
    <w:rsid w:val="008C0ACC"/>
    <w:rsid w:val="008E43A4"/>
    <w:rsid w:val="008F1E31"/>
    <w:rsid w:val="008F368F"/>
    <w:rsid w:val="0090566D"/>
    <w:rsid w:val="00914D66"/>
    <w:rsid w:val="00927284"/>
    <w:rsid w:val="00927CA0"/>
    <w:rsid w:val="00934FFA"/>
    <w:rsid w:val="00946474"/>
    <w:rsid w:val="0095152A"/>
    <w:rsid w:val="009617A3"/>
    <w:rsid w:val="00976FCC"/>
    <w:rsid w:val="00980CB1"/>
    <w:rsid w:val="0098103C"/>
    <w:rsid w:val="009A0604"/>
    <w:rsid w:val="009A4C52"/>
    <w:rsid w:val="009C0132"/>
    <w:rsid w:val="009C05CF"/>
    <w:rsid w:val="009C3FCD"/>
    <w:rsid w:val="009D2FD7"/>
    <w:rsid w:val="009F30D8"/>
    <w:rsid w:val="009F4C6B"/>
    <w:rsid w:val="00A007E7"/>
    <w:rsid w:val="00A05344"/>
    <w:rsid w:val="00A2394A"/>
    <w:rsid w:val="00A27752"/>
    <w:rsid w:val="00A313BE"/>
    <w:rsid w:val="00A32A36"/>
    <w:rsid w:val="00A32E57"/>
    <w:rsid w:val="00A40FFE"/>
    <w:rsid w:val="00A42369"/>
    <w:rsid w:val="00A44CCA"/>
    <w:rsid w:val="00A50F73"/>
    <w:rsid w:val="00A648FF"/>
    <w:rsid w:val="00A67326"/>
    <w:rsid w:val="00A75780"/>
    <w:rsid w:val="00A835B5"/>
    <w:rsid w:val="00A87E35"/>
    <w:rsid w:val="00A9019E"/>
    <w:rsid w:val="00A90FFF"/>
    <w:rsid w:val="00AA39B8"/>
    <w:rsid w:val="00AA7999"/>
    <w:rsid w:val="00AA7AC9"/>
    <w:rsid w:val="00AB2A41"/>
    <w:rsid w:val="00AB595B"/>
    <w:rsid w:val="00AB64A8"/>
    <w:rsid w:val="00AD1A31"/>
    <w:rsid w:val="00AD7C6E"/>
    <w:rsid w:val="00AE5312"/>
    <w:rsid w:val="00AF01D4"/>
    <w:rsid w:val="00B005FA"/>
    <w:rsid w:val="00B32AEE"/>
    <w:rsid w:val="00B417BE"/>
    <w:rsid w:val="00B50EFD"/>
    <w:rsid w:val="00B530ED"/>
    <w:rsid w:val="00B70A80"/>
    <w:rsid w:val="00B84BA5"/>
    <w:rsid w:val="00B936A6"/>
    <w:rsid w:val="00BA15A5"/>
    <w:rsid w:val="00BB16F2"/>
    <w:rsid w:val="00BB5854"/>
    <w:rsid w:val="00BC483D"/>
    <w:rsid w:val="00BC61BF"/>
    <w:rsid w:val="00BD23C9"/>
    <w:rsid w:val="00BE054D"/>
    <w:rsid w:val="00C110B7"/>
    <w:rsid w:val="00C122C7"/>
    <w:rsid w:val="00C13783"/>
    <w:rsid w:val="00C23CEC"/>
    <w:rsid w:val="00C27755"/>
    <w:rsid w:val="00C3244B"/>
    <w:rsid w:val="00C32E42"/>
    <w:rsid w:val="00C40671"/>
    <w:rsid w:val="00C414EC"/>
    <w:rsid w:val="00C47B59"/>
    <w:rsid w:val="00C55998"/>
    <w:rsid w:val="00C71014"/>
    <w:rsid w:val="00C913F2"/>
    <w:rsid w:val="00C93DE2"/>
    <w:rsid w:val="00C95DB4"/>
    <w:rsid w:val="00C9655C"/>
    <w:rsid w:val="00CC5927"/>
    <w:rsid w:val="00CC5954"/>
    <w:rsid w:val="00CD49FF"/>
    <w:rsid w:val="00CE4DC7"/>
    <w:rsid w:val="00CE69BE"/>
    <w:rsid w:val="00CE74C8"/>
    <w:rsid w:val="00CF6D3A"/>
    <w:rsid w:val="00D004C9"/>
    <w:rsid w:val="00D123B7"/>
    <w:rsid w:val="00D13545"/>
    <w:rsid w:val="00D37ACD"/>
    <w:rsid w:val="00D6039F"/>
    <w:rsid w:val="00D7441D"/>
    <w:rsid w:val="00D77599"/>
    <w:rsid w:val="00D91C28"/>
    <w:rsid w:val="00DA1D55"/>
    <w:rsid w:val="00DA21A1"/>
    <w:rsid w:val="00DA3B71"/>
    <w:rsid w:val="00DC021C"/>
    <w:rsid w:val="00DE604E"/>
    <w:rsid w:val="00DF421D"/>
    <w:rsid w:val="00DF60A7"/>
    <w:rsid w:val="00DF7DCC"/>
    <w:rsid w:val="00E03707"/>
    <w:rsid w:val="00E04846"/>
    <w:rsid w:val="00E067B8"/>
    <w:rsid w:val="00E07FC5"/>
    <w:rsid w:val="00E22B42"/>
    <w:rsid w:val="00E31915"/>
    <w:rsid w:val="00E345E4"/>
    <w:rsid w:val="00E37CB9"/>
    <w:rsid w:val="00E40611"/>
    <w:rsid w:val="00E409D6"/>
    <w:rsid w:val="00E5423F"/>
    <w:rsid w:val="00E55829"/>
    <w:rsid w:val="00E5600B"/>
    <w:rsid w:val="00E61BC9"/>
    <w:rsid w:val="00E665CA"/>
    <w:rsid w:val="00E80CA2"/>
    <w:rsid w:val="00E91043"/>
    <w:rsid w:val="00EA41F7"/>
    <w:rsid w:val="00EA704A"/>
    <w:rsid w:val="00EB2C57"/>
    <w:rsid w:val="00EB7AC6"/>
    <w:rsid w:val="00EC4759"/>
    <w:rsid w:val="00ED1FD0"/>
    <w:rsid w:val="00EE666A"/>
    <w:rsid w:val="00EF735A"/>
    <w:rsid w:val="00F17218"/>
    <w:rsid w:val="00F3406B"/>
    <w:rsid w:val="00F71CC6"/>
    <w:rsid w:val="00F80803"/>
    <w:rsid w:val="00F820A5"/>
    <w:rsid w:val="00FC0941"/>
    <w:rsid w:val="00FF23A6"/>
    <w:rsid w:val="0288CB87"/>
    <w:rsid w:val="05FD5F1E"/>
    <w:rsid w:val="07C1B32B"/>
    <w:rsid w:val="08B68251"/>
    <w:rsid w:val="09A163ED"/>
    <w:rsid w:val="09D4189C"/>
    <w:rsid w:val="0C64A176"/>
    <w:rsid w:val="1118B8CC"/>
    <w:rsid w:val="11E27BC1"/>
    <w:rsid w:val="1384CFD8"/>
    <w:rsid w:val="157714D7"/>
    <w:rsid w:val="15E8B629"/>
    <w:rsid w:val="16066D2A"/>
    <w:rsid w:val="16D16023"/>
    <w:rsid w:val="18B21AF2"/>
    <w:rsid w:val="19A7A9D6"/>
    <w:rsid w:val="1CEB9D16"/>
    <w:rsid w:val="1EC851DD"/>
    <w:rsid w:val="21E40E08"/>
    <w:rsid w:val="230EBD57"/>
    <w:rsid w:val="23849279"/>
    <w:rsid w:val="2409419F"/>
    <w:rsid w:val="2555E033"/>
    <w:rsid w:val="258C384C"/>
    <w:rsid w:val="268456E0"/>
    <w:rsid w:val="2B38A354"/>
    <w:rsid w:val="2C3FA8BC"/>
    <w:rsid w:val="2E11E998"/>
    <w:rsid w:val="3334A157"/>
    <w:rsid w:val="33EB35B5"/>
    <w:rsid w:val="36DB5664"/>
    <w:rsid w:val="37358DE2"/>
    <w:rsid w:val="398C0BBA"/>
    <w:rsid w:val="39A2261B"/>
    <w:rsid w:val="3A49A714"/>
    <w:rsid w:val="3E9FBF10"/>
    <w:rsid w:val="4401814C"/>
    <w:rsid w:val="44B31859"/>
    <w:rsid w:val="49BC72C1"/>
    <w:rsid w:val="4A06A0E9"/>
    <w:rsid w:val="4B67D14A"/>
    <w:rsid w:val="4D31CEA2"/>
    <w:rsid w:val="4F1820E5"/>
    <w:rsid w:val="50253ABC"/>
    <w:rsid w:val="5077AE60"/>
    <w:rsid w:val="50A3B148"/>
    <w:rsid w:val="53563C44"/>
    <w:rsid w:val="543FA149"/>
    <w:rsid w:val="5716777A"/>
    <w:rsid w:val="5CC17E12"/>
    <w:rsid w:val="60377785"/>
    <w:rsid w:val="6167CEA2"/>
    <w:rsid w:val="641D4409"/>
    <w:rsid w:val="6936A9AB"/>
    <w:rsid w:val="693B380F"/>
    <w:rsid w:val="6A14E42B"/>
    <w:rsid w:val="6B784C7C"/>
    <w:rsid w:val="70E704F2"/>
    <w:rsid w:val="725AB8FF"/>
    <w:rsid w:val="74FD3730"/>
    <w:rsid w:val="77274C6A"/>
    <w:rsid w:val="7892DEC9"/>
    <w:rsid w:val="7CBA92DF"/>
    <w:rsid w:val="7F11C1F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57B6F"/>
  <w15:chartTrackingRefBased/>
  <w15:docId w15:val="{0BB8D36D-6866-4ADF-A964-7DD61623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0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0CF"/>
  </w:style>
  <w:style w:type="paragraph" w:styleId="Footer">
    <w:name w:val="footer"/>
    <w:basedOn w:val="Normal"/>
    <w:link w:val="FooterChar"/>
    <w:uiPriority w:val="99"/>
    <w:unhideWhenUsed/>
    <w:rsid w:val="0045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0CF"/>
  </w:style>
  <w:style w:type="character" w:customStyle="1" w:styleId="xcontentpasted0">
    <w:name w:val="x_contentpasted0"/>
    <w:basedOn w:val="DefaultParagraphFont"/>
    <w:rsid w:val="00A75780"/>
  </w:style>
  <w:style w:type="character" w:styleId="Hyperlink">
    <w:name w:val="Hyperlink"/>
    <w:basedOn w:val="DefaultParagraphFont"/>
    <w:uiPriority w:val="99"/>
    <w:unhideWhenUsed/>
    <w:rsid w:val="00270219"/>
    <w:rPr>
      <w:color w:val="0563C1"/>
      <w:u w:val="single"/>
    </w:rPr>
  </w:style>
  <w:style w:type="paragraph" w:customStyle="1" w:styleId="recommendationbullet1">
    <w:name w:val="recommendationbullet1"/>
    <w:basedOn w:val="Normal"/>
    <w:rsid w:val="00270219"/>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C0729"/>
    <w:pPr>
      <w:spacing w:after="0" w:line="240" w:lineRule="auto"/>
    </w:pPr>
  </w:style>
  <w:style w:type="paragraph" w:styleId="NormalWeb">
    <w:name w:val="Normal (Web)"/>
    <w:basedOn w:val="Normal"/>
    <w:uiPriority w:val="99"/>
    <w:semiHidden/>
    <w:unhideWhenUsed/>
    <w:rsid w:val="003236A8"/>
    <w:rPr>
      <w:rFonts w:ascii="Times New Roman" w:hAnsi="Times New Roman" w:cs="Times New Roman"/>
      <w:szCs w:val="24"/>
    </w:rPr>
  </w:style>
  <w:style w:type="character" w:styleId="UnresolvedMention">
    <w:name w:val="Unresolved Mention"/>
    <w:basedOn w:val="DefaultParagraphFont"/>
    <w:uiPriority w:val="99"/>
    <w:semiHidden/>
    <w:unhideWhenUsed/>
    <w:rsid w:val="0068501C"/>
    <w:rPr>
      <w:color w:val="605E5C"/>
      <w:shd w:val="clear" w:color="auto" w:fill="E1DFDD"/>
    </w:rPr>
  </w:style>
  <w:style w:type="paragraph" w:styleId="ListParagraph">
    <w:name w:val="List Paragraph"/>
    <w:basedOn w:val="Normal"/>
    <w:qFormat/>
    <w:rsid w:val="008E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5508">
      <w:bodyDiv w:val="1"/>
      <w:marLeft w:val="0"/>
      <w:marRight w:val="0"/>
      <w:marTop w:val="0"/>
      <w:marBottom w:val="0"/>
      <w:divBdr>
        <w:top w:val="none" w:sz="0" w:space="0" w:color="auto"/>
        <w:left w:val="none" w:sz="0" w:space="0" w:color="auto"/>
        <w:bottom w:val="none" w:sz="0" w:space="0" w:color="auto"/>
        <w:right w:val="none" w:sz="0" w:space="0" w:color="auto"/>
      </w:divBdr>
    </w:div>
    <w:div w:id="657617718">
      <w:bodyDiv w:val="1"/>
      <w:marLeft w:val="0"/>
      <w:marRight w:val="0"/>
      <w:marTop w:val="0"/>
      <w:marBottom w:val="0"/>
      <w:divBdr>
        <w:top w:val="none" w:sz="0" w:space="0" w:color="auto"/>
        <w:left w:val="none" w:sz="0" w:space="0" w:color="auto"/>
        <w:bottom w:val="none" w:sz="0" w:space="0" w:color="auto"/>
        <w:right w:val="none" w:sz="0" w:space="0" w:color="auto"/>
      </w:divBdr>
    </w:div>
    <w:div w:id="853611418">
      <w:bodyDiv w:val="1"/>
      <w:marLeft w:val="0"/>
      <w:marRight w:val="0"/>
      <w:marTop w:val="0"/>
      <w:marBottom w:val="0"/>
      <w:divBdr>
        <w:top w:val="none" w:sz="0" w:space="0" w:color="auto"/>
        <w:left w:val="none" w:sz="0" w:space="0" w:color="auto"/>
        <w:bottom w:val="none" w:sz="0" w:space="0" w:color="auto"/>
        <w:right w:val="none" w:sz="0" w:space="0" w:color="auto"/>
      </w:divBdr>
    </w:div>
    <w:div w:id="976106386">
      <w:bodyDiv w:val="1"/>
      <w:marLeft w:val="0"/>
      <w:marRight w:val="0"/>
      <w:marTop w:val="0"/>
      <w:marBottom w:val="0"/>
      <w:divBdr>
        <w:top w:val="none" w:sz="0" w:space="0" w:color="auto"/>
        <w:left w:val="none" w:sz="0" w:space="0" w:color="auto"/>
        <w:bottom w:val="none" w:sz="0" w:space="0" w:color="auto"/>
        <w:right w:val="none" w:sz="0" w:space="0" w:color="auto"/>
      </w:divBdr>
    </w:div>
    <w:div w:id="1099445468">
      <w:bodyDiv w:val="1"/>
      <w:marLeft w:val="0"/>
      <w:marRight w:val="0"/>
      <w:marTop w:val="0"/>
      <w:marBottom w:val="0"/>
      <w:divBdr>
        <w:top w:val="none" w:sz="0" w:space="0" w:color="auto"/>
        <w:left w:val="none" w:sz="0" w:space="0" w:color="auto"/>
        <w:bottom w:val="none" w:sz="0" w:space="0" w:color="auto"/>
        <w:right w:val="none" w:sz="0" w:space="0" w:color="auto"/>
      </w:divBdr>
    </w:div>
    <w:div w:id="1468208034">
      <w:bodyDiv w:val="1"/>
      <w:marLeft w:val="0"/>
      <w:marRight w:val="0"/>
      <w:marTop w:val="0"/>
      <w:marBottom w:val="0"/>
      <w:divBdr>
        <w:top w:val="none" w:sz="0" w:space="0" w:color="auto"/>
        <w:left w:val="none" w:sz="0" w:space="0" w:color="auto"/>
        <w:bottom w:val="none" w:sz="0" w:space="0" w:color="auto"/>
        <w:right w:val="none" w:sz="0" w:space="0" w:color="auto"/>
      </w:divBdr>
    </w:div>
    <w:div w:id="1698698936">
      <w:bodyDiv w:val="1"/>
      <w:marLeft w:val="0"/>
      <w:marRight w:val="0"/>
      <w:marTop w:val="0"/>
      <w:marBottom w:val="0"/>
      <w:divBdr>
        <w:top w:val="none" w:sz="0" w:space="0" w:color="auto"/>
        <w:left w:val="none" w:sz="0" w:space="0" w:color="auto"/>
        <w:bottom w:val="none" w:sz="0" w:space="0" w:color="auto"/>
        <w:right w:val="none" w:sz="0" w:space="0" w:color="auto"/>
      </w:divBdr>
    </w:div>
    <w:div w:id="20043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FoxCarersTas\Carers%20Tasmania\Marketing%20-%20Documents\Communications\Mass%20&amp;%20General%20Media\2025\Media%20Release\Media%20release%20-%20National%20Carers%20Week%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6476f8-80f6-4de9-8a65-12da916e0b48">
      <Terms xmlns="http://schemas.microsoft.com/office/infopath/2007/PartnerControls"/>
    </lcf76f155ced4ddcb4097134ff3c332f>
    <TaxCatchAll xmlns="4d331f84-aa86-4734-b706-a5c36f25e492" xsi:nil="true"/>
    <Category xmlns="3f6476f8-80f6-4de9-8a65-12da916e0b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2E007162ABF4BAD27601BE54E7066" ma:contentTypeVersion="20" ma:contentTypeDescription="Create a new document." ma:contentTypeScope="" ma:versionID="7ccf9ea3bab7ce5b9a63a89f0f9c65ca">
  <xsd:schema xmlns:xsd="http://www.w3.org/2001/XMLSchema" xmlns:xs="http://www.w3.org/2001/XMLSchema" xmlns:p="http://schemas.microsoft.com/office/2006/metadata/properties" xmlns:ns2="3f6476f8-80f6-4de9-8a65-12da916e0b48" xmlns:ns3="4d331f84-aa86-4734-b706-a5c36f25e492" targetNamespace="http://schemas.microsoft.com/office/2006/metadata/properties" ma:root="true" ma:fieldsID="b201330bc3813309073449a511b7de38" ns2:_="" ns3:_="">
    <xsd:import namespace="3f6476f8-80f6-4de9-8a65-12da916e0b48"/>
    <xsd:import namespace="4d331f84-aa86-4734-b706-a5c36f25e4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476f8-80f6-4de9-8a65-12da916e0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bdda51-95b5-4c0f-af4d-5b71051daf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y" ma:index="26" nillable="true" ma:displayName="Category" ma:format="Dropdown" ma:internalName="Category">
      <xsd:simpleType>
        <xsd:restriction base="dms:Choice">
          <xsd:enumeration value="Branding"/>
          <xsd:enumeration value="Campaigns"/>
          <xsd:enumeration value="Events"/>
          <xsd:enumeration value="GD stuff"/>
          <xsd:enumeration value="Publication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1f84-aa86-4734-b706-a5c36f25e4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6d2fe5-0105-4505-bf87-539aa7abc7af}" ma:internalName="TaxCatchAll" ma:showField="CatchAllData" ma:web="4d331f84-aa86-4734-b706-a5c36f25e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F14C-E939-4F34-8C94-279ACBE68F9A}">
  <ds:schemaRefs>
    <ds:schemaRef ds:uri="http://schemas.microsoft.com/sharepoint/v3/contenttype/forms"/>
  </ds:schemaRefs>
</ds:datastoreItem>
</file>

<file path=customXml/itemProps2.xml><?xml version="1.0" encoding="utf-8"?>
<ds:datastoreItem xmlns:ds="http://schemas.openxmlformats.org/officeDocument/2006/customXml" ds:itemID="{8B9AA072-C189-439C-A4BB-1733F8893442}">
  <ds:schemaRefs>
    <ds:schemaRef ds:uri="http://schemas.microsoft.com/office/2006/metadata/properties"/>
    <ds:schemaRef ds:uri="http://schemas.microsoft.com/office/infopath/2007/PartnerControls"/>
    <ds:schemaRef ds:uri="3f6476f8-80f6-4de9-8a65-12da916e0b48"/>
    <ds:schemaRef ds:uri="4d331f84-aa86-4734-b706-a5c36f25e492"/>
  </ds:schemaRefs>
</ds:datastoreItem>
</file>

<file path=customXml/itemProps3.xml><?xml version="1.0" encoding="utf-8"?>
<ds:datastoreItem xmlns:ds="http://schemas.openxmlformats.org/officeDocument/2006/customXml" ds:itemID="{C30233F0-F059-4BD5-8F38-18F0FC36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476f8-80f6-4de9-8a65-12da916e0b48"/>
    <ds:schemaRef ds:uri="4d331f84-aa86-4734-b706-a5c36f25e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C9557-2BDC-4E7E-9817-6F08EEFA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 release - National Carers Week 2025</Template>
  <TotalTime>76</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Fox | Carers Tasmania and Care2Serve</dc:creator>
  <cp:keywords/>
  <dc:description/>
  <cp:lastModifiedBy>Samantha Fox | Carers Tasmania and Care2Serve</cp:lastModifiedBy>
  <cp:revision>71</cp:revision>
  <cp:lastPrinted>2025-04-17T00:39:00Z</cp:lastPrinted>
  <dcterms:created xsi:type="dcterms:W3CDTF">2026-05-21T07:30:00Z</dcterms:created>
  <dcterms:modified xsi:type="dcterms:W3CDTF">2026-05-21T23:02:00Z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21410935ac6750a7e1c9bcf93663f69868c6d7d9a1eb09e647285fb5dde4fcc2</vt:lpwstr>
  </property>
  <property fmtid="{D5CDD505-2E9C-101B-9397-08002B2CF9AE}" pid="3" name="ContentTypeId">
    <vt:lpwstr>0x0101005DE2E007162ABF4BAD27601BE54E7066</vt:lpwstr>
  </property>
  <property fmtid="{D5CDD505-2E9C-101B-9397-08002B2CF9AE}" pid="4" name="MediaServiceImageTags">
    <vt:lpwstr/>
  </property>
</Properties>
</file>